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南京市医疗保障局高淳分局</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南京市医疗保障局高淳分局主要承担所辖区域城镇职工和城乡居民基本医疗保险、生育保险、大病保险、医疗保障基金监督、医疗救助、药品和医药服务价格管理等医疗保障工作。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综合科和业务科。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南京市医疗保障局高淳分局机关。</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进一步加强党的建设。把讲政治摆在首位，强化支部引领带头作用，坚持从政治上谋划发展、推动工作、解决问题，确保政治建设与业务工作融为一体、互促并进。始终坚持以人民为中心，贯彻党中央、省、市对医保工作的各项决策部署，真正把实现好、维护好、发展好最广大人民群众的根本利益作为最高标准，让群众得到实实在在的实惠。</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强化医保基金监管能力。贯彻落实《全省深化医疗保障制度改革实施意见》，开展多形式稽核检查，重点打击“假病人、假病情、假票据”等欺诈骗保问题，着力整治定点医疗机构重复收费、分解收费、超标准收费等违规收费行为。严格落实《医疗保障基金使用监督管理条例》，健全医保基金监管执法体系，严格落实行政执法“三项制度”和“双随机、一公开”监督检查制度，形成对欺诈骗保行为的严打高压态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推进失能保险规范年建设。聚焦失能保险领域重点难点问题，大力加强失能保险基金监管，提高照护服务水平。一是强化“窗口经办日常稽查、承办机构月度稽查、分局季度稽查”三级稽查机制及定点照护服务机构“一稽核、二通报、三约谈整改、四清退处罚”管理机制。二是梳理各类不规范照护行为，完善失能保险照护服务负面清单，为稽核工作提供依据。三是加大对从业人员的培训力度，不断提升失能保险评估、护理规范化、标准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优化医疗保障公共服务。贯彻实施《全省医保公共服务专项治理年工作方案》，加强医保公共服务规范化、标准化、信息化、一体化建设，大力推进服务下沉，实现区、街（镇）、社区（村）经办服务全覆盖，实现最简办事环节、最少提交材料、最短办结时限、最小自由裁量（空间）、最高群众满意度，打造与高质量发展要求相匹配的医保公共服务体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深化医保支付方式改革。按照市局改革三年行动计划，建立医疗保险总额控制下的DRG付费模式，推进区内DRG支付方式覆盖区内所有符合条件的开展住院服务的医疗机构。引导定点医疗机构完善自我约束机制，有效控制医疗费用不合理增长，显著提高基金使用效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（六）落实药品（耗材）集中带量采购。鼓励民营医疗机构和“门慢”和“双通道”药店积极参与，积极推进公立医疗机构创新药品的临床使用工作，做好定点医疗机构集采药品的结余留用考核工作。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南京市医疗保障局高淳分局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南京市医疗保障局高淳分局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4,362.96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4,310.02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52.94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4,362.96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4,362.96</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4,362.96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4,362.96</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4,362.96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4,362.96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4,362.96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南京市医疗保障局高淳分局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4,362.96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4,362.96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4,362.96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601001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南京市医疗保障局高淳分局机关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4,362.96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4,362.96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4,362.96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4,362.96</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212.96</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4,150.00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4,310.02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医疗救助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城乡医疗救助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医疗保障管理事务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2101504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信息化建设</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医疗保障政策管理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南京市医疗保障局高淳分局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4,362.96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4,362.96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4,362.96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4,310.02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52.94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4,362.96</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4,362.96</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4,362.96</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212.96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204.56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4,310.02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医疗救助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城乡医疗救助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医疗保障管理事务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2101504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信息化建设</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医疗保障政策管理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南京市医疗保障局高淳分局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212.96</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204.56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4,362.96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212.96</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204.56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4,310.02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医疗救助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城乡医疗救助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医疗保障管理事务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2101504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信息化建设</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医疗保障政策管理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212.96</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204.56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南京市医疗保障局高淳分局机关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医疗平台信息系统及网站维护</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其他信息化设备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医疗平台信息系统及网站维护</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钢木床类</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南京市医疗保障局高淳分局机关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医疗平台信息系统及网站维护</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行业应用软件开发服务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南京市医疗保障局高淳分局2024年度收入、支出预算总计4,362.96万元，与上年相比收、支预算总计各减少40.67万元，减少0.92%。其中：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（一）收入预算总计4,362.96万元。包括：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1．本年收入合计4,362.96万元。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4,362.96万元，与上年相比减少40.67万元，减少0.92%。主要原因是主要原因是城乡医疗救助政策变动，待遇提高，预算增加。同时，失能保险项目原来由区级财政承担部分统一由医保基金承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（二）支出预算总计4,362.96万元。包括：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1．本年支出合计4,362.96万元。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卫生健康支出（类）支出4,310.02万元，主要用于开展医疗保障工作而发生的基本支出和项目支出。与上年相比减少40.67万元，减少0.93%。主要原因是主要原因是城乡医疗救助政策变动，待遇提高，预算增加。同时，失能保险项目原来由区级财政承担部分统一由医保基金承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（2）住房保障支出（类）支出52.94万元，主要用于提租补贴和住房公积金支出。与上年预算数相同。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南京市医疗保障局高淳分局2024年收入预算合计4,362.96万元，包括本年收入4,362.96万元，上年结转结余0万元。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本年一般公共预算收入4,362.96万元，占100%；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南京市医疗保障局高淳分局2024年支出预算合计4,362.96万元，其中：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基本支出212.96万元，占4.88%；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项目支出4,150万元，占95.12%；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南京市医疗保障局高淳分局2024年度财政拨款收、支总预算4,362.96万元。与上年相比，财政拨款收、支总计各减少40.67万元，减少0.92%。主要原因是提租补贴和住房公积金支出。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2024年财政拨款预算支出4,362.96万元，占本年支出合计的100%。与上年相比，财政拨款支出减少40.67万元，减少0.92%。主要原因是主要原因是城乡医疗救助政策变动，待遇提高，预算增加。同时，失能保险项目原来由区级财政承担部分统一由医保基金承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1.医疗救助（款）城乡医疗救助（项）支出4,100万元，与上年相比增加400万元，增长10.81%。主要原因是城乡医疗救助政策变动，待遇提高，预算增加。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2.医疗救助（款）其他医疗救助支出（项）支出0万元，与上年相比减少100万元，减少100%。主要原因是城乡医疗救助政策变动，该项目预算取消。</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3.优抚对象医疗（款）优抚对象医疗补助（项）支出0万元，与上年相比减少100万元，减少100%。主要原因是主要原因是优抚对象医疗补助项目支出类别变动。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4.医疗保障管理事务（款）行政运行（项）支出160.02万元，与上年相比增加9.33万元，增长6.19%。主要原因是机关正常增资及社保基数调整等。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5.医疗保障管理事务（款）信息化建设（项）支出30万元，与上年预算数相同。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6.医疗保障管理事务（款）医疗保障政策管理（项）支出20万元，与上年预算数相同。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7.其他卫生健康支出（款）其他卫生健康支出（项）支出0万元，与上年相比减少250万元，减少100%。主要原因是失能保险项目原来由区级财政承担部分统一由医保基金承担。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1.住房改革支出（款）住房公积金（项）支出16.72万元，与上年预算数相同。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2.住房改革支出（款）提租补贴（项）支出36.22万元，与上年预算数相同。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南京市医疗保障局高淳分局2024年度财政拨款基本支出预算212.96万元，其中：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（一）人员经费204.56万元。主要包括：基本工资、津贴补贴、奖金、机关事业单位基本养老保险缴费、职业年金缴费、职工基本医疗保险缴费、其他社会保障缴费、住房公积金、其他工资福利支出。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（二）公用经费8.4万元。主要包括：办公费、差旅费、会议费、公务接待费、工会经费。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2024年一般公共预算财政拨款支出预算4,362.96万元，与上年相比减少40.67万元，减少0.92%。主要原因是主要原因是城乡医疗救助政策变动，待遇提高，预算增加。同时，失能保险项目原来由区级财政承担部分统一由医保基金承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南京市医疗保障局高淳分局2024年度一般公共预算财政拨款基本支出预算212.96万元，其中：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（一）人员经费204.56万元。主要包括：基本工资、津贴补贴、奖金、机关事业单位基本养老保险缴费、职业年金缴费、职工基本医疗保险缴费、其他社会保障缴费、住房公积金、其他工资福利支出。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（二）公用经费8.4万元。主要包括：办公费、差旅费、会议费、公务接待费、工会经费。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2024年度一般公共预算拨款安排的“三公”经费支出预算0.55万元，与上年预算数相同。其中，因公出国（境）费支出0万元，占“三公”经费的0%；公务用车购置及运行维护费支出0万元，占“三公”经费的0%；公务接待费支出0.55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3．公务接待费预算支出0.55万元，与上年预算数相同。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南京市医疗保障局高淳分局2024年度一般公共预算拨款安排的会议费预算支出0.2万元，比上年预算减少0.5万元，主要原因是厉行节约坚持“过苦日子”的要求。</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南京市医疗保障局高淳分局2024年度一般公共预算拨款安排的培训费预算支出0万元，比上年预算减少0.5万元，主要原因是厉行节约坚持“过苦日子”的要求。</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2024年本部门一般公共预算机关运行经费预算支出8.4万元，与上年相比减少0.25万元，减少2.89%。主要原因是厉行节约坚持“过苦日子”的要求。</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2024年度政府采购支出预算总额15.5万元，其中：拟采购货物支出5.5万元、拟采购工程支出0万元、拟采购服务支出10万元。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部门整体支出纳入绩效目标管理，涉及财政性资金4,362.96万元；本部门共4个项目纳入绩效目标管理，涉及财政性资金合计4,150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八、卫生健康支出(类)医疗救助(款)城乡医疗救助(项)</w:t>
      </w:r>
      <w:r>
        <w:rPr>
          <w:rFonts w:ascii="仿宋" w:hAnsi="仿宋" w:cs="仿宋" w:eastAsia="仿宋"/>
          <w:b w:val="true"/>
        </w:rPr>
        <w:t>：</w:t>
      </w:r>
      <w:r>
        <w:rPr>
          <w:rFonts w:hint="eastAsia" w:ascii="仿宋" w:hAnsi="仿宋" w:eastAsia="仿宋" w:cs="仿宋"/>
        </w:rPr>
        <w:t>反映财政用于城乡困难群众医疗救助的支出。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九、卫生健康支出(类)医疗保障管理事务(款)行政运行(项)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十、卫生健康支出(类)医疗保障管理事务(款)信息化建设(项)</w:t>
      </w:r>
      <w:r>
        <w:rPr>
          <w:rFonts w:ascii="仿宋" w:hAnsi="仿宋" w:cs="仿宋" w:eastAsia="仿宋"/>
          <w:b w:val="true"/>
        </w:rPr>
        <w:t>：</w:t>
      </w:r>
      <w:r>
        <w:rPr>
          <w:rFonts w:hint="eastAsia" w:ascii="仿宋" w:hAnsi="仿宋" w:eastAsia="仿宋" w:cs="仿宋"/>
        </w:rPr>
        <w:t>反映医疗保障部门用于信息化建设、开发、运行维护和数据分析等方面支出。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十一、卫生健康支出(类)医疗保障管理事务(款)医疗保障政策管理(项)</w:t>
      </w:r>
      <w:r>
        <w:rPr>
          <w:rFonts w:ascii="仿宋" w:hAnsi="仿宋" w:cs="仿宋" w:eastAsia="仿宋"/>
          <w:b w:val="true"/>
        </w:rPr>
        <w:t>：</w:t>
      </w:r>
      <w:r>
        <w:rPr>
          <w:rFonts w:hint="eastAsia" w:ascii="仿宋" w:hAnsi="仿宋" w:eastAsia="仿宋" w:cs="仿宋"/>
        </w:rPr>
        <w:t>反映医疗保障待遇管理、医药服务管理、医药价格和招标采购管理、医疗保障基金监管等支出。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南京市医疗保障局高淳分局</w:t>
    </w:r>
    <w:r>
      <w:t>2024</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